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3620B" w14:textId="77777777" w:rsidR="00D803DC" w:rsidRDefault="00D803DC">
      <w:pPr>
        <w:rPr>
          <w:rFonts w:ascii="Helvetica" w:hAnsi="Helvetica"/>
        </w:rPr>
      </w:pPr>
    </w:p>
    <w:p w14:paraId="4D34FCD6" w14:textId="77777777" w:rsidR="001C19A7" w:rsidRDefault="001C19A7">
      <w:pPr>
        <w:rPr>
          <w:rFonts w:ascii="Helvetica" w:hAnsi="Helvetica"/>
        </w:rPr>
      </w:pPr>
    </w:p>
    <w:p w14:paraId="04D48A78" w14:textId="77777777" w:rsidR="00DF7607" w:rsidRPr="002E20F9" w:rsidRDefault="00DF7607" w:rsidP="002E20F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E20F9">
        <w:rPr>
          <w:rFonts w:asciiTheme="minorHAnsi" w:hAnsiTheme="minorHAnsi" w:cstheme="minorHAnsi"/>
          <w:b/>
          <w:sz w:val="28"/>
          <w:szCs w:val="28"/>
        </w:rPr>
        <w:t xml:space="preserve">Browning Offers Limited Edition </w:t>
      </w:r>
      <w:proofErr w:type="spellStart"/>
      <w:r w:rsidRPr="002E20F9">
        <w:rPr>
          <w:rFonts w:asciiTheme="minorHAnsi" w:hAnsiTheme="minorHAnsi" w:cstheme="minorHAnsi"/>
          <w:b/>
          <w:sz w:val="28"/>
          <w:szCs w:val="28"/>
        </w:rPr>
        <w:t>Citori</w:t>
      </w:r>
      <w:proofErr w:type="spellEnd"/>
      <w:r w:rsidRPr="002E20F9">
        <w:rPr>
          <w:rFonts w:asciiTheme="minorHAnsi" w:hAnsiTheme="minorHAnsi" w:cstheme="minorHAnsi"/>
          <w:b/>
          <w:sz w:val="28"/>
          <w:szCs w:val="28"/>
        </w:rPr>
        <w:t xml:space="preserve"> 725 </w:t>
      </w:r>
      <w:r w:rsidR="004D46D9" w:rsidRPr="002E20F9">
        <w:rPr>
          <w:rFonts w:asciiTheme="minorHAnsi" w:hAnsiTheme="minorHAnsi" w:cstheme="minorHAnsi"/>
          <w:b/>
          <w:sz w:val="28"/>
          <w:szCs w:val="28"/>
        </w:rPr>
        <w:t xml:space="preserve">Field </w:t>
      </w:r>
      <w:r w:rsidRPr="002E20F9">
        <w:rPr>
          <w:rFonts w:asciiTheme="minorHAnsi" w:hAnsiTheme="minorHAnsi" w:cstheme="minorHAnsi"/>
          <w:b/>
          <w:sz w:val="28"/>
          <w:szCs w:val="28"/>
        </w:rPr>
        <w:t>Grade VI Model for 2018</w:t>
      </w:r>
    </w:p>
    <w:p w14:paraId="68D0C035" w14:textId="77777777" w:rsidR="00DF7607" w:rsidRPr="002E20F9" w:rsidRDefault="00DF7607">
      <w:pPr>
        <w:rPr>
          <w:rFonts w:asciiTheme="minorHAnsi" w:hAnsiTheme="minorHAnsi" w:cstheme="minorHAnsi"/>
        </w:rPr>
      </w:pPr>
    </w:p>
    <w:p w14:paraId="2B6AAE50" w14:textId="77777777" w:rsidR="00DF7607" w:rsidRPr="002E20F9" w:rsidRDefault="00DF7607">
      <w:pPr>
        <w:rPr>
          <w:rFonts w:asciiTheme="minorHAnsi" w:hAnsiTheme="minorHAnsi" w:cstheme="minorHAnsi"/>
        </w:rPr>
      </w:pPr>
      <w:r w:rsidRPr="002E20F9">
        <w:rPr>
          <w:rFonts w:asciiTheme="minorHAnsi" w:hAnsiTheme="minorHAnsi" w:cstheme="minorHAnsi"/>
        </w:rPr>
        <w:t xml:space="preserve">Browning’s High Grade Program enters into its sixth year with the introduction of the limited production </w:t>
      </w:r>
      <w:proofErr w:type="spellStart"/>
      <w:r w:rsidRPr="002E20F9">
        <w:rPr>
          <w:rFonts w:asciiTheme="minorHAnsi" w:hAnsiTheme="minorHAnsi" w:cstheme="minorHAnsi"/>
        </w:rPr>
        <w:t>Citori</w:t>
      </w:r>
      <w:proofErr w:type="spellEnd"/>
      <w:r w:rsidRPr="002E20F9">
        <w:rPr>
          <w:rFonts w:asciiTheme="minorHAnsi" w:hAnsiTheme="minorHAnsi" w:cstheme="minorHAnsi"/>
        </w:rPr>
        <w:t xml:space="preserve"> 725 </w:t>
      </w:r>
      <w:r w:rsidR="004D46D9" w:rsidRPr="002E20F9">
        <w:rPr>
          <w:rFonts w:asciiTheme="minorHAnsi" w:hAnsiTheme="minorHAnsi" w:cstheme="minorHAnsi"/>
        </w:rPr>
        <w:t xml:space="preserve">Field </w:t>
      </w:r>
      <w:r w:rsidRPr="002E20F9">
        <w:rPr>
          <w:rFonts w:asciiTheme="minorHAnsi" w:hAnsiTheme="minorHAnsi" w:cstheme="minorHAnsi"/>
        </w:rPr>
        <w:t>Grade VI</w:t>
      </w:r>
      <w:r w:rsidR="002212E0">
        <w:rPr>
          <w:rFonts w:asciiTheme="minorHAnsi" w:hAnsiTheme="minorHAnsi" w:cstheme="minorHAnsi"/>
        </w:rPr>
        <w:t>. Available in</w:t>
      </w:r>
      <w:r w:rsidRPr="002E20F9">
        <w:rPr>
          <w:rFonts w:asciiTheme="minorHAnsi" w:hAnsiTheme="minorHAnsi" w:cstheme="minorHAnsi"/>
        </w:rPr>
        <w:t xml:space="preserve"> 12</w:t>
      </w:r>
      <w:r w:rsidR="002212E0">
        <w:rPr>
          <w:rFonts w:asciiTheme="minorHAnsi" w:hAnsiTheme="minorHAnsi" w:cstheme="minorHAnsi"/>
        </w:rPr>
        <w:t>-</w:t>
      </w:r>
      <w:r w:rsidRPr="002E20F9">
        <w:rPr>
          <w:rFonts w:asciiTheme="minorHAnsi" w:hAnsiTheme="minorHAnsi" w:cstheme="minorHAnsi"/>
        </w:rPr>
        <w:t xml:space="preserve"> and 20</w:t>
      </w:r>
      <w:r w:rsidR="002212E0">
        <w:rPr>
          <w:rFonts w:asciiTheme="minorHAnsi" w:hAnsiTheme="minorHAnsi" w:cstheme="minorHAnsi"/>
        </w:rPr>
        <w:t>-</w:t>
      </w:r>
      <w:r w:rsidRPr="002E20F9">
        <w:rPr>
          <w:rFonts w:asciiTheme="minorHAnsi" w:hAnsiTheme="minorHAnsi" w:cstheme="minorHAnsi"/>
        </w:rPr>
        <w:t>gauge</w:t>
      </w:r>
      <w:r w:rsidR="002212E0">
        <w:rPr>
          <w:rFonts w:asciiTheme="minorHAnsi" w:hAnsiTheme="minorHAnsi" w:cstheme="minorHAnsi"/>
        </w:rPr>
        <w:t>, these</w:t>
      </w:r>
      <w:r w:rsidRPr="002E20F9">
        <w:rPr>
          <w:rFonts w:asciiTheme="minorHAnsi" w:hAnsiTheme="minorHAnsi" w:cstheme="minorHAnsi"/>
        </w:rPr>
        <w:t xml:space="preserve"> shotguns</w:t>
      </w:r>
      <w:r w:rsidR="006453A2" w:rsidRPr="002E20F9">
        <w:rPr>
          <w:rFonts w:asciiTheme="minorHAnsi" w:hAnsiTheme="minorHAnsi" w:cstheme="minorHAnsi"/>
        </w:rPr>
        <w:t xml:space="preserve"> will be ideal</w:t>
      </w:r>
      <w:r w:rsidR="0004101A" w:rsidRPr="002E20F9">
        <w:rPr>
          <w:rFonts w:asciiTheme="minorHAnsi" w:hAnsiTheme="minorHAnsi" w:cstheme="minorHAnsi"/>
        </w:rPr>
        <w:t xml:space="preserve"> choice</w:t>
      </w:r>
      <w:r w:rsidR="002212E0">
        <w:rPr>
          <w:rFonts w:asciiTheme="minorHAnsi" w:hAnsiTheme="minorHAnsi" w:cstheme="minorHAnsi"/>
        </w:rPr>
        <w:t>s</w:t>
      </w:r>
      <w:r w:rsidR="006453A2" w:rsidRPr="002E20F9">
        <w:rPr>
          <w:rFonts w:asciiTheme="minorHAnsi" w:hAnsiTheme="minorHAnsi" w:cstheme="minorHAnsi"/>
        </w:rPr>
        <w:t xml:space="preserve"> for Sporting Clays as well as hunting</w:t>
      </w:r>
      <w:r w:rsidRPr="002E20F9">
        <w:rPr>
          <w:rFonts w:asciiTheme="minorHAnsi" w:hAnsiTheme="minorHAnsi" w:cstheme="minorHAnsi"/>
        </w:rPr>
        <w:t>.</w:t>
      </w:r>
      <w:r w:rsidR="006453A2" w:rsidRPr="002E20F9">
        <w:rPr>
          <w:rFonts w:asciiTheme="minorHAnsi" w:hAnsiTheme="minorHAnsi" w:cstheme="minorHAnsi"/>
        </w:rPr>
        <w:t xml:space="preserve"> </w:t>
      </w:r>
    </w:p>
    <w:p w14:paraId="36ADEC9C" w14:textId="77777777" w:rsidR="00DF7607" w:rsidRPr="002E20F9" w:rsidRDefault="00DF7607">
      <w:pPr>
        <w:rPr>
          <w:rFonts w:asciiTheme="minorHAnsi" w:hAnsiTheme="minorHAnsi" w:cstheme="minorHAnsi"/>
        </w:rPr>
      </w:pPr>
    </w:p>
    <w:p w14:paraId="495AE354" w14:textId="77777777" w:rsidR="00DF7607" w:rsidRPr="002E20F9" w:rsidRDefault="00DF7607">
      <w:pPr>
        <w:rPr>
          <w:rFonts w:asciiTheme="minorHAnsi" w:hAnsiTheme="minorHAnsi" w:cstheme="minorHAnsi"/>
        </w:rPr>
      </w:pPr>
      <w:r w:rsidRPr="002E20F9">
        <w:rPr>
          <w:rFonts w:asciiTheme="minorHAnsi" w:hAnsiTheme="minorHAnsi" w:cstheme="minorHAnsi"/>
        </w:rPr>
        <w:t>The guns feature gold enhanced</w:t>
      </w:r>
      <w:r w:rsidR="002212E0">
        <w:rPr>
          <w:rFonts w:asciiTheme="minorHAnsi" w:hAnsiTheme="minorHAnsi" w:cstheme="minorHAnsi"/>
        </w:rPr>
        <w:t>,</w:t>
      </w:r>
      <w:r w:rsidRPr="002E20F9">
        <w:rPr>
          <w:rFonts w:asciiTheme="minorHAnsi" w:hAnsiTheme="minorHAnsi" w:cstheme="minorHAnsi"/>
        </w:rPr>
        <w:t xml:space="preserve"> intricately </w:t>
      </w:r>
      <w:r w:rsidR="006D6677" w:rsidRPr="002E20F9">
        <w:rPr>
          <w:rFonts w:asciiTheme="minorHAnsi" w:hAnsiTheme="minorHAnsi" w:cstheme="minorHAnsi"/>
        </w:rPr>
        <w:t>detailed engraving</w:t>
      </w:r>
      <w:r w:rsidRPr="002E20F9">
        <w:rPr>
          <w:rFonts w:asciiTheme="minorHAnsi" w:hAnsiTheme="minorHAnsi" w:cstheme="minorHAnsi"/>
        </w:rPr>
        <w:t xml:space="preserve"> on the </w:t>
      </w:r>
      <w:proofErr w:type="gramStart"/>
      <w:r w:rsidR="002212E0">
        <w:rPr>
          <w:rFonts w:asciiTheme="minorHAnsi" w:hAnsiTheme="minorHAnsi" w:cstheme="minorHAnsi"/>
        </w:rPr>
        <w:t>low-profile</w:t>
      </w:r>
      <w:proofErr w:type="gramEnd"/>
      <w:r w:rsidR="002212E0">
        <w:rPr>
          <w:rFonts w:asciiTheme="minorHAnsi" w:hAnsiTheme="minorHAnsi" w:cstheme="minorHAnsi"/>
        </w:rPr>
        <w:t xml:space="preserve">, steel </w:t>
      </w:r>
      <w:r w:rsidRPr="002E20F9">
        <w:rPr>
          <w:rFonts w:asciiTheme="minorHAnsi" w:hAnsiTheme="minorHAnsi" w:cstheme="minorHAnsi"/>
        </w:rPr>
        <w:t xml:space="preserve">receiver </w:t>
      </w:r>
      <w:r w:rsidR="002212E0">
        <w:rPr>
          <w:rFonts w:asciiTheme="minorHAnsi" w:hAnsiTheme="minorHAnsi" w:cstheme="minorHAnsi"/>
        </w:rPr>
        <w:t xml:space="preserve">and </w:t>
      </w:r>
      <w:r w:rsidRPr="002E20F9">
        <w:rPr>
          <w:rFonts w:asciiTheme="minorHAnsi" w:hAnsiTheme="minorHAnsi" w:cstheme="minorHAnsi"/>
        </w:rPr>
        <w:t xml:space="preserve">hand-fitted grade V/VI gloss oil finished walnut stocks. The stock has a close radius pistol grip </w:t>
      </w:r>
      <w:r w:rsidR="002212E0">
        <w:rPr>
          <w:rFonts w:asciiTheme="minorHAnsi" w:hAnsiTheme="minorHAnsi" w:cstheme="minorHAnsi"/>
        </w:rPr>
        <w:t>and</w:t>
      </w:r>
      <w:r w:rsidRPr="002E20F9">
        <w:rPr>
          <w:rFonts w:asciiTheme="minorHAnsi" w:hAnsiTheme="minorHAnsi" w:cstheme="minorHAnsi"/>
        </w:rPr>
        <w:t xml:space="preserve"> an </w:t>
      </w:r>
      <w:proofErr w:type="spellStart"/>
      <w:r w:rsidRPr="002E20F9">
        <w:rPr>
          <w:rFonts w:asciiTheme="minorHAnsi" w:hAnsiTheme="minorHAnsi" w:cstheme="minorHAnsi"/>
        </w:rPr>
        <w:t>Inflex</w:t>
      </w:r>
      <w:proofErr w:type="spellEnd"/>
      <w:r w:rsidRPr="002E20F9">
        <w:rPr>
          <w:rFonts w:asciiTheme="minorHAnsi" w:hAnsiTheme="minorHAnsi" w:cstheme="minorHAnsi"/>
        </w:rPr>
        <w:t xml:space="preserve"> recoil pad. </w:t>
      </w:r>
      <w:r w:rsidR="0004101A" w:rsidRPr="002E20F9">
        <w:rPr>
          <w:rFonts w:asciiTheme="minorHAnsi" w:hAnsiTheme="minorHAnsi" w:cstheme="minorHAnsi"/>
        </w:rPr>
        <w:t>The gun</w:t>
      </w:r>
      <w:r w:rsidR="002212E0">
        <w:rPr>
          <w:rFonts w:asciiTheme="minorHAnsi" w:hAnsiTheme="minorHAnsi" w:cstheme="minorHAnsi"/>
        </w:rPr>
        <w:t>s both use</w:t>
      </w:r>
      <w:r w:rsidR="0004101A" w:rsidRPr="002E20F9">
        <w:rPr>
          <w:rFonts w:asciiTheme="minorHAnsi" w:hAnsiTheme="minorHAnsi" w:cstheme="minorHAnsi"/>
        </w:rPr>
        <w:t xml:space="preserve"> </w:t>
      </w:r>
      <w:r w:rsidR="002212E0">
        <w:rPr>
          <w:rFonts w:asciiTheme="minorHAnsi" w:hAnsiTheme="minorHAnsi" w:cstheme="minorHAnsi"/>
        </w:rPr>
        <w:t xml:space="preserve">the </w:t>
      </w:r>
      <w:r w:rsidRPr="002E20F9">
        <w:rPr>
          <w:rFonts w:asciiTheme="minorHAnsi" w:hAnsiTheme="minorHAnsi" w:cstheme="minorHAnsi"/>
        </w:rPr>
        <w:t>Fire Lite mechanical trigger system.</w:t>
      </w:r>
    </w:p>
    <w:p w14:paraId="3ECFF25F" w14:textId="77777777" w:rsidR="00DF7607" w:rsidRPr="002E20F9" w:rsidRDefault="00DF7607">
      <w:pPr>
        <w:rPr>
          <w:rFonts w:asciiTheme="minorHAnsi" w:hAnsiTheme="minorHAnsi" w:cstheme="minorHAnsi"/>
        </w:rPr>
      </w:pPr>
    </w:p>
    <w:p w14:paraId="4A91ECB8" w14:textId="77777777" w:rsidR="006D6677" w:rsidRPr="002E20F9" w:rsidRDefault="00DF7607">
      <w:pPr>
        <w:rPr>
          <w:rFonts w:asciiTheme="minorHAnsi" w:hAnsiTheme="minorHAnsi" w:cstheme="minorHAnsi"/>
        </w:rPr>
      </w:pPr>
      <w:r w:rsidRPr="002E20F9">
        <w:rPr>
          <w:rFonts w:asciiTheme="minorHAnsi" w:hAnsiTheme="minorHAnsi" w:cstheme="minorHAnsi"/>
        </w:rPr>
        <w:t xml:space="preserve">The </w:t>
      </w:r>
      <w:proofErr w:type="spellStart"/>
      <w:r w:rsidRPr="002E20F9">
        <w:rPr>
          <w:rFonts w:asciiTheme="minorHAnsi" w:hAnsiTheme="minorHAnsi" w:cstheme="minorHAnsi"/>
        </w:rPr>
        <w:t>Citori</w:t>
      </w:r>
      <w:proofErr w:type="spellEnd"/>
      <w:r w:rsidRPr="002E20F9">
        <w:rPr>
          <w:rFonts w:asciiTheme="minorHAnsi" w:hAnsiTheme="minorHAnsi" w:cstheme="minorHAnsi"/>
        </w:rPr>
        <w:t xml:space="preserve"> 725 Grade VI Field Model has a ventilated top rib </w:t>
      </w:r>
      <w:r w:rsidR="006D6677" w:rsidRPr="002E20F9">
        <w:rPr>
          <w:rFonts w:asciiTheme="minorHAnsi" w:hAnsiTheme="minorHAnsi" w:cstheme="minorHAnsi"/>
        </w:rPr>
        <w:t xml:space="preserve">with Vector Pro lengthened forcing cones and </w:t>
      </w:r>
      <w:r w:rsidR="002212E0">
        <w:rPr>
          <w:rFonts w:asciiTheme="minorHAnsi" w:hAnsiTheme="minorHAnsi" w:cstheme="minorHAnsi"/>
        </w:rPr>
        <w:t>includes</w:t>
      </w:r>
      <w:r w:rsidR="006D6677" w:rsidRPr="002E20F9">
        <w:rPr>
          <w:rFonts w:asciiTheme="minorHAnsi" w:hAnsiTheme="minorHAnsi" w:cstheme="minorHAnsi"/>
        </w:rPr>
        <w:t xml:space="preserve"> three </w:t>
      </w:r>
      <w:proofErr w:type="spellStart"/>
      <w:r w:rsidR="006D6677" w:rsidRPr="002E20F9">
        <w:rPr>
          <w:rFonts w:asciiTheme="minorHAnsi" w:hAnsiTheme="minorHAnsi" w:cstheme="minorHAnsi"/>
        </w:rPr>
        <w:t>Invector</w:t>
      </w:r>
      <w:proofErr w:type="spellEnd"/>
      <w:r w:rsidR="006D6677" w:rsidRPr="002E20F9">
        <w:rPr>
          <w:rFonts w:asciiTheme="minorHAnsi" w:hAnsiTheme="minorHAnsi" w:cstheme="minorHAnsi"/>
        </w:rPr>
        <w:t xml:space="preserve">-DS extended choke tubes. Ivory front and mid bead sights help shooters get on target quickly. </w:t>
      </w:r>
      <w:proofErr w:type="gramStart"/>
      <w:r w:rsidR="006D6677" w:rsidRPr="002E20F9">
        <w:rPr>
          <w:rFonts w:asciiTheme="minorHAnsi" w:hAnsiTheme="minorHAnsi" w:cstheme="minorHAnsi"/>
        </w:rPr>
        <w:t>Both 26” or</w:t>
      </w:r>
      <w:proofErr w:type="gramEnd"/>
      <w:r w:rsidR="006D6677" w:rsidRPr="002E20F9">
        <w:rPr>
          <w:rFonts w:asciiTheme="minorHAnsi" w:hAnsiTheme="minorHAnsi" w:cstheme="minorHAnsi"/>
        </w:rPr>
        <w:t xml:space="preserve"> 28” barrels are available.</w:t>
      </w:r>
    </w:p>
    <w:p w14:paraId="5B333040" w14:textId="77777777" w:rsidR="006D6677" w:rsidRPr="002E20F9" w:rsidRDefault="006D6677">
      <w:pPr>
        <w:rPr>
          <w:rFonts w:asciiTheme="minorHAnsi" w:hAnsiTheme="minorHAnsi" w:cstheme="minorHAnsi"/>
        </w:rPr>
      </w:pPr>
    </w:p>
    <w:p w14:paraId="55CEE62F" w14:textId="77777777" w:rsidR="006D6677" w:rsidRPr="002E20F9" w:rsidRDefault="006D6677">
      <w:pPr>
        <w:rPr>
          <w:rFonts w:asciiTheme="minorHAnsi" w:hAnsiTheme="minorHAnsi" w:cstheme="minorHAnsi"/>
        </w:rPr>
      </w:pPr>
      <w:r w:rsidRPr="002E20F9">
        <w:rPr>
          <w:rFonts w:asciiTheme="minorHAnsi" w:hAnsiTheme="minorHAnsi" w:cstheme="minorHAnsi"/>
        </w:rPr>
        <w:t xml:space="preserve">The </w:t>
      </w:r>
      <w:proofErr w:type="spellStart"/>
      <w:r w:rsidRPr="002E20F9">
        <w:rPr>
          <w:rFonts w:asciiTheme="minorHAnsi" w:hAnsiTheme="minorHAnsi" w:cstheme="minorHAnsi"/>
        </w:rPr>
        <w:t>Citori</w:t>
      </w:r>
      <w:proofErr w:type="spellEnd"/>
      <w:r w:rsidRPr="002E20F9">
        <w:rPr>
          <w:rFonts w:asciiTheme="minorHAnsi" w:hAnsiTheme="minorHAnsi" w:cstheme="minorHAnsi"/>
        </w:rPr>
        <w:t xml:space="preserve"> 725 Grade VI Field Model comes with a Browning Canvas/Distressed Leather </w:t>
      </w:r>
      <w:r w:rsidR="00915780" w:rsidRPr="002E20F9">
        <w:rPr>
          <w:rFonts w:asciiTheme="minorHAnsi" w:hAnsiTheme="minorHAnsi" w:cstheme="minorHAnsi"/>
        </w:rPr>
        <w:t xml:space="preserve">fitted </w:t>
      </w:r>
      <w:r w:rsidRPr="002E20F9">
        <w:rPr>
          <w:rFonts w:asciiTheme="minorHAnsi" w:hAnsiTheme="minorHAnsi" w:cstheme="minorHAnsi"/>
        </w:rPr>
        <w:t>case and sells for a</w:t>
      </w:r>
      <w:r w:rsidR="002E20F9" w:rsidRPr="002E20F9">
        <w:rPr>
          <w:rFonts w:asciiTheme="minorHAnsi" w:hAnsiTheme="minorHAnsi" w:cstheme="minorHAnsi"/>
        </w:rPr>
        <w:t xml:space="preserve"> </w:t>
      </w:r>
      <w:r w:rsidRPr="002E20F9">
        <w:rPr>
          <w:rFonts w:asciiTheme="minorHAnsi" w:hAnsiTheme="minorHAnsi" w:cstheme="minorHAnsi"/>
        </w:rPr>
        <w:t>MSRP of $5</w:t>
      </w:r>
      <w:r w:rsidR="002212E0">
        <w:rPr>
          <w:rFonts w:asciiTheme="minorHAnsi" w:hAnsiTheme="minorHAnsi" w:cstheme="minorHAnsi"/>
        </w:rPr>
        <w:t>,</w:t>
      </w:r>
      <w:r w:rsidRPr="002E20F9">
        <w:rPr>
          <w:rFonts w:asciiTheme="minorHAnsi" w:hAnsiTheme="minorHAnsi" w:cstheme="minorHAnsi"/>
        </w:rPr>
        <w:t>999.99.</w:t>
      </w:r>
    </w:p>
    <w:p w14:paraId="7D61783B" w14:textId="77777777" w:rsidR="006D6677" w:rsidRPr="002E20F9" w:rsidRDefault="006D6677">
      <w:pPr>
        <w:rPr>
          <w:rFonts w:asciiTheme="minorHAnsi" w:hAnsiTheme="minorHAnsi" w:cstheme="minorHAnsi"/>
        </w:rPr>
      </w:pPr>
    </w:p>
    <w:p w14:paraId="1F4E6380" w14:textId="77777777" w:rsidR="006D6677" w:rsidRPr="002E20F9" w:rsidRDefault="006D6677">
      <w:pPr>
        <w:rPr>
          <w:rFonts w:asciiTheme="minorHAnsi" w:hAnsiTheme="minorHAnsi" w:cstheme="minorHAnsi"/>
        </w:rPr>
      </w:pPr>
      <w:r w:rsidRPr="002E20F9">
        <w:rPr>
          <w:rFonts w:asciiTheme="minorHAnsi" w:hAnsiTheme="minorHAnsi" w:cstheme="minorHAnsi"/>
        </w:rPr>
        <w:t>Features</w:t>
      </w:r>
    </w:p>
    <w:p w14:paraId="1D4BE6EA" w14:textId="77777777" w:rsidR="006D6677" w:rsidRPr="002E20F9" w:rsidRDefault="006D6677" w:rsidP="006D667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E20F9">
        <w:rPr>
          <w:rFonts w:asciiTheme="minorHAnsi" w:hAnsiTheme="minorHAnsi" w:cstheme="minorHAnsi"/>
        </w:rPr>
        <w:t>Steel</w:t>
      </w:r>
      <w:r w:rsidR="002212E0">
        <w:rPr>
          <w:rFonts w:asciiTheme="minorHAnsi" w:hAnsiTheme="minorHAnsi" w:cstheme="minorHAnsi"/>
        </w:rPr>
        <w:t>,</w:t>
      </w:r>
      <w:r w:rsidRPr="002E20F9">
        <w:rPr>
          <w:rFonts w:asciiTheme="minorHAnsi" w:hAnsiTheme="minorHAnsi" w:cstheme="minorHAnsi"/>
        </w:rPr>
        <w:t xml:space="preserve"> Low Profile Receiver with Silver Nitride Finish Featuring Gold Enhanced Engraving</w:t>
      </w:r>
    </w:p>
    <w:p w14:paraId="03E66871" w14:textId="77777777" w:rsidR="006D6677" w:rsidRPr="002E20F9" w:rsidRDefault="006D6677" w:rsidP="006D667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E20F9">
        <w:rPr>
          <w:rFonts w:asciiTheme="minorHAnsi" w:hAnsiTheme="minorHAnsi" w:cstheme="minorHAnsi"/>
        </w:rPr>
        <w:t xml:space="preserve">Barrels with Ventilated Top Rib and </w:t>
      </w:r>
      <w:r w:rsidR="006453A2" w:rsidRPr="002E20F9">
        <w:rPr>
          <w:rFonts w:asciiTheme="minorHAnsi" w:hAnsiTheme="minorHAnsi" w:cstheme="minorHAnsi"/>
        </w:rPr>
        <w:t>Vector Pro Lengthened Forcing Cones</w:t>
      </w:r>
    </w:p>
    <w:p w14:paraId="39416AD4" w14:textId="77777777" w:rsidR="006D6677" w:rsidRPr="002E20F9" w:rsidRDefault="006D6677" w:rsidP="006D667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E20F9">
        <w:rPr>
          <w:rFonts w:asciiTheme="minorHAnsi" w:hAnsiTheme="minorHAnsi" w:cstheme="minorHAnsi"/>
        </w:rPr>
        <w:t>Fire Lite Mechanical Trigger System</w:t>
      </w:r>
    </w:p>
    <w:p w14:paraId="1DAC0E33" w14:textId="77777777" w:rsidR="006D6677" w:rsidRPr="002E20F9" w:rsidRDefault="006453A2" w:rsidP="006D667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E20F9">
        <w:rPr>
          <w:rFonts w:asciiTheme="minorHAnsi" w:hAnsiTheme="minorHAnsi" w:cstheme="minorHAnsi"/>
        </w:rPr>
        <w:t>Hammer Ejectors</w:t>
      </w:r>
    </w:p>
    <w:p w14:paraId="6CA9836E" w14:textId="77777777" w:rsidR="006453A2" w:rsidRPr="002E20F9" w:rsidRDefault="006453A2" w:rsidP="006D667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E20F9">
        <w:rPr>
          <w:rFonts w:asciiTheme="minorHAnsi" w:hAnsiTheme="minorHAnsi" w:cstheme="minorHAnsi"/>
        </w:rPr>
        <w:t>Top</w:t>
      </w:r>
      <w:r w:rsidR="002212E0">
        <w:rPr>
          <w:rFonts w:asciiTheme="minorHAnsi" w:hAnsiTheme="minorHAnsi" w:cstheme="minorHAnsi"/>
        </w:rPr>
        <w:t>-</w:t>
      </w:r>
      <w:r w:rsidRPr="002E20F9">
        <w:rPr>
          <w:rFonts w:asciiTheme="minorHAnsi" w:hAnsiTheme="minorHAnsi" w:cstheme="minorHAnsi"/>
        </w:rPr>
        <w:t>Tang Barrel Selector/Safety</w:t>
      </w:r>
    </w:p>
    <w:p w14:paraId="3E24090C" w14:textId="77777777" w:rsidR="006453A2" w:rsidRPr="002E20F9" w:rsidRDefault="006453A2" w:rsidP="006D667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E20F9">
        <w:rPr>
          <w:rFonts w:asciiTheme="minorHAnsi" w:hAnsiTheme="minorHAnsi" w:cstheme="minorHAnsi"/>
        </w:rPr>
        <w:t xml:space="preserve">Gloss Oil Finish Grade V/VI Walnut Stock with </w:t>
      </w:r>
      <w:proofErr w:type="spellStart"/>
      <w:r w:rsidRPr="002E20F9">
        <w:rPr>
          <w:rFonts w:asciiTheme="minorHAnsi" w:hAnsiTheme="minorHAnsi" w:cstheme="minorHAnsi"/>
        </w:rPr>
        <w:t>Inflex</w:t>
      </w:r>
      <w:proofErr w:type="spellEnd"/>
      <w:r w:rsidRPr="002E20F9">
        <w:rPr>
          <w:rFonts w:asciiTheme="minorHAnsi" w:hAnsiTheme="minorHAnsi" w:cstheme="minorHAnsi"/>
        </w:rPr>
        <w:t xml:space="preserve"> Recoil Pad</w:t>
      </w:r>
    </w:p>
    <w:p w14:paraId="077BF564" w14:textId="77777777" w:rsidR="006453A2" w:rsidRPr="002E20F9" w:rsidRDefault="006453A2" w:rsidP="006D667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E20F9">
        <w:rPr>
          <w:rFonts w:asciiTheme="minorHAnsi" w:hAnsiTheme="minorHAnsi" w:cstheme="minorHAnsi"/>
        </w:rPr>
        <w:t xml:space="preserve">Three </w:t>
      </w:r>
      <w:proofErr w:type="spellStart"/>
      <w:r w:rsidRPr="002E20F9">
        <w:rPr>
          <w:rFonts w:asciiTheme="minorHAnsi" w:hAnsiTheme="minorHAnsi" w:cstheme="minorHAnsi"/>
        </w:rPr>
        <w:t>Invector</w:t>
      </w:r>
      <w:proofErr w:type="spellEnd"/>
      <w:r w:rsidRPr="002E20F9">
        <w:rPr>
          <w:rFonts w:asciiTheme="minorHAnsi" w:hAnsiTheme="minorHAnsi" w:cstheme="minorHAnsi"/>
        </w:rPr>
        <w:t>-DS Extended Choke Tubes</w:t>
      </w:r>
    </w:p>
    <w:sectPr w:rsidR="006453A2" w:rsidRPr="002E20F9" w:rsidSect="00CF4C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4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A0E0C" w14:textId="77777777" w:rsidR="003D5C51" w:rsidRDefault="003D5C51" w:rsidP="00CF4C8B">
      <w:r>
        <w:separator/>
      </w:r>
    </w:p>
  </w:endnote>
  <w:endnote w:type="continuationSeparator" w:id="0">
    <w:p w14:paraId="3F006A08" w14:textId="77777777" w:rsidR="003D5C51" w:rsidRDefault="003D5C51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4B570" w14:textId="77777777" w:rsidR="00F65096" w:rsidRDefault="00F650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490A6" w14:textId="77777777" w:rsidR="00F65096" w:rsidRDefault="00F650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C1A58" w14:textId="77777777" w:rsidR="00F65096" w:rsidRDefault="00F65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0FB5E" w14:textId="77777777" w:rsidR="003D5C51" w:rsidRDefault="003D5C51" w:rsidP="00CF4C8B">
      <w:r>
        <w:separator/>
      </w:r>
    </w:p>
  </w:footnote>
  <w:footnote w:type="continuationSeparator" w:id="0">
    <w:p w14:paraId="662384AB" w14:textId="77777777" w:rsidR="003D5C51" w:rsidRDefault="003D5C51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B5076" w14:textId="77777777" w:rsidR="00F65096" w:rsidRDefault="00F650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77496" w14:textId="766E2ABC" w:rsidR="00D803DC" w:rsidRDefault="00F650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6A6056" wp14:editId="32CB0C93">
              <wp:simplePos x="0" y="0"/>
              <wp:positionH relativeFrom="column">
                <wp:posOffset>63500</wp:posOffset>
              </wp:positionH>
              <wp:positionV relativeFrom="paragraph">
                <wp:posOffset>927100</wp:posOffset>
              </wp:positionV>
              <wp:extent cx="5384800" cy="6985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4800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F90578" w14:textId="77777777" w:rsidR="00F65096" w:rsidRDefault="00F65096" w:rsidP="00F65096">
                          <w:pPr>
                            <w:jc w:val="center"/>
                          </w:pPr>
                          <w:bookmarkStart w:id="0" w:name="_GoBack"/>
                          <w:r>
                            <w:t>Scott Grange, Public Relations Manager, 801-876-2711 ext. 3306</w:t>
                          </w:r>
                        </w:p>
                        <w:p w14:paraId="7A53BACF" w14:textId="77777777" w:rsidR="00F65096" w:rsidRDefault="00F65096" w:rsidP="00F65096">
                          <w:pPr>
                            <w:jc w:val="center"/>
                          </w:pPr>
                          <w:r>
                            <w:t>Shaundi Campbell, Marketing &amp; Media Relations Specialist, 801-876-2711 ext. 3278</w:t>
                          </w:r>
                        </w:p>
                        <w:p w14:paraId="79329ED1" w14:textId="77777777" w:rsidR="00F65096" w:rsidRDefault="00F65096" w:rsidP="00F65096">
                          <w:pPr>
                            <w:jc w:val="center"/>
                          </w:pPr>
                          <w:r>
                            <w:t>Email: PR@browning.com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6A60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pt;margin-top:73pt;width:424pt;height: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" fillcolor="white [3201]" stroked="f" strokeweight=".5pt">
              <v:textbox>
                <w:txbxContent>
                  <w:p w14:paraId="66F90578" w14:textId="77777777" w:rsidR="00F65096" w:rsidRDefault="00F65096" w:rsidP="00F65096">
                    <w:pPr>
                      <w:jc w:val="center"/>
                    </w:pPr>
                    <w:bookmarkStart w:id="1" w:name="_GoBack"/>
                    <w:r>
                      <w:t>Scott Grange, Public Relations Manager, 801-876-2711 ext. 3306</w:t>
                    </w:r>
                  </w:p>
                  <w:p w14:paraId="7A53BACF" w14:textId="77777777" w:rsidR="00F65096" w:rsidRDefault="00F65096" w:rsidP="00F65096">
                    <w:pPr>
                      <w:jc w:val="center"/>
                    </w:pPr>
                    <w:r>
                      <w:t>Shaundi Campbell, Marketing &amp; Media Relations Specialist, 801-876-2711 ext. 3278</w:t>
                    </w:r>
                  </w:p>
                  <w:p w14:paraId="79329ED1" w14:textId="77777777" w:rsidR="00F65096" w:rsidRDefault="00F65096" w:rsidP="00F65096">
                    <w:pPr>
                      <w:jc w:val="center"/>
                    </w:pPr>
                    <w:r>
                      <w:t>Email: PR@browning.com</w:t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471D58E" wp14:editId="451F81E5">
          <wp:simplePos x="0" y="0"/>
          <wp:positionH relativeFrom="page">
            <wp:align>right</wp:align>
          </wp:positionH>
          <wp:positionV relativeFrom="paragraph">
            <wp:posOffset>-419100</wp:posOffset>
          </wp:positionV>
          <wp:extent cx="7727950" cy="10007600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0" cy="1000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B50F5" w14:textId="77777777" w:rsidR="00F65096" w:rsidRDefault="00F650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2E09FF"/>
    <w:multiLevelType w:val="hybridMultilevel"/>
    <w:tmpl w:val="4BDA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F7"/>
    <w:rsid w:val="00024B99"/>
    <w:rsid w:val="0004101A"/>
    <w:rsid w:val="001C19A7"/>
    <w:rsid w:val="002212E0"/>
    <w:rsid w:val="002E20F9"/>
    <w:rsid w:val="003D5C51"/>
    <w:rsid w:val="003E0351"/>
    <w:rsid w:val="004D46D9"/>
    <w:rsid w:val="00636E3C"/>
    <w:rsid w:val="0064182B"/>
    <w:rsid w:val="006453A2"/>
    <w:rsid w:val="006D6677"/>
    <w:rsid w:val="007E6FF7"/>
    <w:rsid w:val="008544F4"/>
    <w:rsid w:val="008628C1"/>
    <w:rsid w:val="008839BE"/>
    <w:rsid w:val="00915780"/>
    <w:rsid w:val="00A62C4B"/>
    <w:rsid w:val="00C93AE6"/>
    <w:rsid w:val="00CB0EE7"/>
    <w:rsid w:val="00CF4C8B"/>
    <w:rsid w:val="00D37443"/>
    <w:rsid w:val="00D803DC"/>
    <w:rsid w:val="00DF7607"/>
    <w:rsid w:val="00ED1080"/>
    <w:rsid w:val="00F65096"/>
    <w:rsid w:val="00F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2397C5"/>
  <w14:defaultImageDpi w14:val="0"/>
  <w15:docId w15:val="{9B036C12-4DE6-4474-AED2-8B193156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64182B"/>
    <w:pPr>
      <w:numPr>
        <w:numId w:val="1"/>
      </w:numPr>
      <w:spacing w:after="120"/>
      <w:jc w:val="both"/>
    </w:pPr>
    <w:rPr>
      <w:rFonts w:ascii="Helvetica" w:eastAsia="Times New Roman" w:hAnsi="Helvetica"/>
      <w:sz w:val="24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64182B"/>
    <w:rPr>
      <w:rFonts w:ascii="Helvetica" w:hAnsi="Helvetica"/>
      <w:b/>
      <w:caps/>
      <w:color w:val="auto"/>
      <w:sz w:val="24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64182B"/>
    <w:pPr>
      <w:tabs>
        <w:tab w:val="clear" w:pos="1980"/>
        <w:tab w:val="clear" w:pos="2160"/>
        <w:tab w:val="clear" w:pos="5760"/>
      </w:tabs>
      <w:spacing w:after="0"/>
      <w:contextualSpacing/>
      <w:jc w:val="left"/>
    </w:pPr>
    <w:rPr>
      <w:sz w:val="22"/>
    </w:r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6D6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Roger Stitt</cp:lastModifiedBy>
  <cp:revision>10</cp:revision>
  <dcterms:created xsi:type="dcterms:W3CDTF">2018-01-02T17:40:00Z</dcterms:created>
  <dcterms:modified xsi:type="dcterms:W3CDTF">2018-08-21T15:14:00Z</dcterms:modified>
</cp:coreProperties>
</file>